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Solt Város Önkormányzata Képviselő-testületének 32/2004. (XII. 15.)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gyermekvédelem helyi rendszeréről</w:t>
      </w:r>
      <w:r>
        <w:rPr>
          <w:rStyle w:val="FootnoteAnchor"/>
          <w:b/>
          <w:bCs/>
          <w:sz w:val="24"/>
          <w:szCs w:val="24"/>
        </w:rPr>
        <w:footnoteReference w:id="2"/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Solt Város Önkormányzat Képviselő-testülete a gyermekek védelméről és a gyámügyi igazgatásról szóló 1997. évi XXXI. törvény (továbbiakban: Gyvt.) 157. § (5) bekezdésében foglalt felhatalmazás alapján az önkormányzat által a gyermekek részére nyújtható pénzbeli és természetbeni ellátásokról, a gyermekvédelem helyi rendszeréről az alábbi rendeletet alkotja.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rendelet célja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3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 rendelet célja, hogy az önkormányzat közigazgatási területén – a Gyvt.-ben, a személyes gondoskodást nyújtó gyermekjóléti alapellátások és gyermekvédelmi szakellátások térítési díjáról és az igénylésükhöz felhasználható bizonyítékokról szóló 328/2011. (XII.29.) Korm. rendeletben, a gyámhatóságokról, valamint a gyermekvédelmi és gyámügyi eljárásról szóló 149/1997. (IX.10.) Korm. rendeletben (továbbiakban: Gyer.) foglaltakkal összhangban – megállapítsa azokat az alapvető szabályokat, amelyek szerint az önkormányzat segítséget nyújt a gyermekek törvényben foglalt jogainak és érdekeinek érvényesítéséhez, illetve gondoskodik a gyermekek veszélyeztetettségének megelőzéséről és megszüntetéséről, a hiányzó szülői gondoskodás pótlásáról, valamint a gyermekvédelmi gondoskodásból kikerült fiatal felnőttek társadalmi beilleszkedéséről.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rendelet hatálya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Style w:val="FootnoteAnchor"/>
          <w:sz w:val="24"/>
          <w:szCs w:val="24"/>
        </w:rPr>
        <w:footnoteReference w:id="4"/>
      </w:r>
      <w:r>
        <w:rPr>
          <w:sz w:val="24"/>
          <w:szCs w:val="24"/>
        </w:rPr>
        <w:t>A rendelet hatályát a Gyvt. 4. §-a határozza meg.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</w:t>
      </w:r>
      <w:r>
        <w:rPr>
          <w:rStyle w:val="FootnoteAnchor"/>
          <w:sz w:val="24"/>
          <w:szCs w:val="24"/>
        </w:rPr>
        <w:footnoteReference w:id="5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</w:t>
      </w:r>
      <w:r>
        <w:rPr>
          <w:rStyle w:val="FootnoteAnchor"/>
          <w:sz w:val="24"/>
          <w:szCs w:val="24"/>
        </w:rPr>
        <w:footnoteReference w:id="6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rStyle w:val="FootnoteAnchor"/>
          <w:sz w:val="24"/>
          <w:szCs w:val="24"/>
        </w:rPr>
        <w:footnoteReference w:id="7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gyermekek védelmének rendszere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gyermekek védelme a gyermek családban történő nevelkedésének elősegítésére, veszélyeztetettségének megelőzésére és megszüntetésére, valamint a szülő vagy más hozzátartozói gondoskodásból kikerülő gyermek helyettesítő védelmének biztosítására irányuló tevékenység.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e rendeletben foglaltak szerint biztosítja a pénzbeli, természetbeni, illetve a személyes gondoskodást nyújtó ellátásokat.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gyermekek védelmét a képviselő-testület a következő pénzbeli, természetbeni és személyes gondoskodást nyújtó gyermekjóléti alapellátások keretében biztosítja: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8"/>
      </w:r>
      <w:r>
        <w:rPr>
          <w:rStyle w:val="FootnoteAnchor"/>
          <w:sz w:val="24"/>
          <w:szCs w:val="24"/>
        </w:rPr>
        <w:footnoteReference w:id="9"/>
      </w:r>
      <w:r>
        <w:rPr>
          <w:sz w:val="24"/>
          <w:szCs w:val="24"/>
        </w:rPr>
        <w:t>pénzbeli és természetbeni ellátások: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10"/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gyermekek napközbeni ellátása keretében nyújtott gyermekétkeztetés térítési díj támogatása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11"/>
      </w:r>
      <w:r>
        <w:rPr>
          <w:sz w:val="24"/>
          <w:szCs w:val="24"/>
        </w:rPr>
        <w:t xml:space="preserve"> személyes gondoskodást nyújtó gyermekjóléti alapellátások: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ba)</w:t>
      </w:r>
      <w:r>
        <w:rPr>
          <w:sz w:val="24"/>
          <w:szCs w:val="24"/>
        </w:rPr>
        <w:tab/>
        <w:t xml:space="preserve">gyermekjóléti szolgáltatás, 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bb)</w:t>
      </w:r>
      <w:r>
        <w:rPr>
          <w:sz w:val="24"/>
          <w:szCs w:val="24"/>
        </w:rPr>
        <w:tab/>
        <w:t>gyermekek napközbeni ellátása.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rStyle w:val="FootnoteAnchor"/>
          <w:sz w:val="24"/>
          <w:szCs w:val="24"/>
        </w:rPr>
        <w:footnoteReference w:id="12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13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14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Eljárási rendelkezések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e rendeletben szabályozott pénzbeli és természetbeni gyermekvédelmi ellátások megállapítására irányuló kérelmet a szülő vagy más törvényes képviselő a Polgármesteri Hivatalnál (továbbiakban: hivatal) terjesztheti elő.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bekezdésben meghatározott pénzbeli ellátások megállapítását nevelési-oktatási intézmény, gyámhivatal, továbbá családsegítő szolgálat, illetve természetes személy vagy a gyermekek érdekeinek védelmét ellátó társadalmi szervezet is kezdeményezheti.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</w:t>
      </w:r>
      <w:r>
        <w:rPr>
          <w:rStyle w:val="FootnoteAnchor"/>
          <w:sz w:val="24"/>
          <w:szCs w:val="24"/>
        </w:rPr>
        <w:footnoteReference w:id="15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kérelemben, valamint a jövedelemnyilatkozatban szereplő adatok valódisága környezettanulmány készítésével vizsgálható.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</w:t>
      </w:r>
      <w:r>
        <w:rPr>
          <w:rStyle w:val="FootnoteAnchor"/>
          <w:sz w:val="24"/>
          <w:szCs w:val="24"/>
        </w:rPr>
        <w:footnoteReference w:id="16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17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rendszeres gyermekvédelmi támogatás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18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rendkívüli gyermekvédelmi támogatás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19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pénzbeli és természetbeni ellátások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20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Gyermekétkeztetés, étkezési térítési díj kedvezménye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7/A.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21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Gyermekek napközbeni ellátása keretében nyújtott gyermekétkeztetés térítési díj támogatása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7/B. §</w:t>
      </w:r>
      <w:r>
        <w:rPr>
          <w:rStyle w:val="FootnoteAnchor"/>
          <w:b/>
          <w:bCs/>
          <w:sz w:val="24"/>
          <w:szCs w:val="24"/>
        </w:rPr>
        <w:footnoteReference w:id="22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Gyermekek napközbeni ellátása keretében nyújtott gyermekétkeztetés esetén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rendszeres gyermekvédelmi kedvezményben részesülő gyermek után az intézményi térítési díj 100 %-át,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három- vagy többgyermekes családoknál gyermekenként az intézményi térítési díj 50 %-át,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tartósan beteg, vagy fogyatékos gyermek után az intézményi térítési díj 50 %-át,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támogatásként kell biztosítani [az a-c) pont a továbbiakban együtt: támogatás].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támogatás csak egy jogcímen vehető igénybe.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Style w:val="FootnoteAnchor"/>
          <w:sz w:val="24"/>
          <w:szCs w:val="24"/>
        </w:rPr>
        <w:footnoteReference w:id="23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rStyle w:val="FootnoteAnchor"/>
          <w:sz w:val="24"/>
          <w:szCs w:val="24"/>
        </w:rPr>
        <w:footnoteReference w:id="24"/>
      </w:r>
      <w:r>
        <w:rPr>
          <w:sz w:val="24"/>
          <w:szCs w:val="24"/>
        </w:rPr>
        <w:t xml:space="preserve"> A támogatás havi összegének gyermekenkénti dokumentációját a nem állami fenntartású intézmény tárgyhónapot követő hónap 5. napjáig megküldi az önkormányzatnak.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önkormányzat a támogatás havi összegét a tárgyhónapot követő hónap 10. napjáig szolgáltatónak átutalja.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gyermekjóléti alapellátások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gyermekjóléti alapellátások célja a gyermek családban történő nevelkedésének elősegítése, a veszélyeztetettség megelőzése és a kialakult veszélyeztetettség megszüntetése, illetve a gyermek családjából való kiemelésének megelőzése. Az alapellátásoknak hozzá kell járulnia a gyermek testi, értelmi, érzelmi és erkölcsi fejlődéséhez, életkörülményeinek javításához.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</w:t>
      </w:r>
      <w:r>
        <w:rPr>
          <w:rStyle w:val="FootnoteAnchor"/>
          <w:sz w:val="24"/>
          <w:szCs w:val="24"/>
        </w:rPr>
        <w:footnoteReference w:id="25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gyermekjóléti szolgálat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gyermekjóléti szolgálat szervezési, szolgáltatási és gondozási feladatokat lát el a védőnői szolgálattal együttműködve.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Style w:val="FootnoteAnchor"/>
          <w:sz w:val="24"/>
          <w:szCs w:val="24"/>
        </w:rPr>
        <w:footnoteReference w:id="26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gyermekjóléti szolgáltatás térítésmentes.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Gyermekek napközbeni ellátása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gyermekek napközbeni ellátásaként a családban élő gyermekek életkorának megfelelő nappali felügyeletét, gondozását, nevelését, foglalkoztatását és étkeztetését kell megszervezni azon gyermekek számára, akiknek szülei, nevelői, gondozói munkavégzésük, munkaerő-piaci részvételt elősegítő programban, képzésben való részvételük, betegségük vagy egyéb ok miatt napközbeni ellátásukról nem tudnak gondoskodni. A napközbeni ellátás keretében biztosított szolgáltatások időtartama lehetőleg a szülő munkarendjéhez igazodik.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Style w:val="FootnoteAnchor"/>
          <w:sz w:val="24"/>
          <w:szCs w:val="24"/>
        </w:rPr>
        <w:footnoteReference w:id="27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Style w:val="FootnoteAnchor"/>
          <w:sz w:val="24"/>
          <w:szCs w:val="24"/>
        </w:rPr>
        <w:footnoteReference w:id="28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rStyle w:val="FootnoteAnchor"/>
          <w:sz w:val="24"/>
          <w:szCs w:val="24"/>
        </w:rPr>
        <w:footnoteReference w:id="29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(5) </w:t>
      </w:r>
      <w:r>
        <w:rPr>
          <w:rStyle w:val="FootnoteAnchor"/>
          <w:sz w:val="24"/>
          <w:szCs w:val="24"/>
        </w:rPr>
        <w:footnoteReference w:id="30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Gyermekétkeztetés intézményi és személyi térítési díja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FootnoteAnchor"/>
          <w:sz w:val="24"/>
          <w:szCs w:val="24"/>
        </w:rPr>
        <w:footnoteReference w:id="31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2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3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4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5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6"/>
      </w:r>
      <w:r>
        <w:rPr>
          <w:sz w:val="24"/>
          <w:szCs w:val="24"/>
        </w:rPr>
        <w:t>A gyermekétkeztetés intézményi térítési díjának alapja az élelmezés nyersanyagköltségének egy ellátottra jutó napi összege, amely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napközi otthonos óvodai ellátással 630,-Ft/nap,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napközi otthonos óvodai ellátást igénybe nem vevő óvodások részére 490,-Ft/nap,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általános iskolai napközi otthoni ellátással 720,-Ft/nap,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>általános iskolai napközi otthoni ellátást igénybe nem vevő tanulók részére 570,-Ft/nap,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  <w:t>általános iskolai napközi otthoni ellátást igénybe nem vevő tanulók részére ebéd 420,-Ft/nap,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  <w:t>mini bölcsődében bölcsődei ellátásban részesülő gyermek részére reggeli főétkezés, déli meleg főétkezés, két kisétkezés (tízórai és uzsonna) ellátással 630,- Ft/nap..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Style w:val="FootnoteAnchor"/>
          <w:sz w:val="24"/>
          <w:szCs w:val="24"/>
        </w:rPr>
        <w:footnoteReference w:id="37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8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39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40"/>
      </w:r>
      <w:r>
        <w:rPr>
          <w:sz w:val="24"/>
          <w:szCs w:val="24"/>
        </w:rPr>
        <w:t>Az (1) bekezdésben meghatározott gyermekétkeztetés intézményi térítési díja általános forgalmi adót nem tartalmaz.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Style w:val="FootnoteAnchor"/>
          <w:sz w:val="24"/>
          <w:szCs w:val="24"/>
        </w:rPr>
        <w:footnoteReference w:id="41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42"/>
      </w:r>
      <w:r>
        <w:rPr>
          <w:sz w:val="24"/>
          <w:szCs w:val="24"/>
        </w:rPr>
        <w:t xml:space="preserve"> A gyermekétkeztetésért fizetendő személyi térítési díj a (3) bekezdés szerinti napi összeg általános forgalmi adóval növelt összegének és az igénybe vett étkezések számának szorzata, figyelemmel a Gyvt. 21/B. §-ában megjelölt normatív kedvezményekre, továbbá kerekítési szabályokra.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(5) </w:t>
      </w:r>
      <w:r>
        <w:rPr>
          <w:rStyle w:val="FootnoteAnchor"/>
          <w:sz w:val="24"/>
          <w:szCs w:val="24"/>
        </w:rPr>
        <w:footnoteReference w:id="43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44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45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46"/>
      </w:r>
      <w:r>
        <w:rPr>
          <w:sz w:val="24"/>
          <w:szCs w:val="24"/>
        </w:rPr>
        <w:t>Solt Város Önkormányzat Képviselő-testülete, mint fenntartó az intézményi térítési díjat a rendelet mellékletében dokumentálja.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rStyle w:val="FootnoteAnchor"/>
          <w:sz w:val="24"/>
          <w:szCs w:val="24"/>
        </w:rPr>
        <w:footnoteReference w:id="47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(7) </w:t>
      </w:r>
      <w:r>
        <w:rPr>
          <w:rStyle w:val="FootnoteAnchor"/>
          <w:sz w:val="24"/>
          <w:szCs w:val="24"/>
        </w:rPr>
        <w:footnoteReference w:id="48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(8) </w:t>
      </w:r>
      <w:r>
        <w:rPr>
          <w:rStyle w:val="FootnoteAnchor"/>
          <w:sz w:val="24"/>
          <w:szCs w:val="24"/>
        </w:rPr>
        <w:footnoteReference w:id="49"/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11/A.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50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mini bölcsődében nyújtott bölcsődei gondozás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intézményi térítési díja: 0,- Ft/nap,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személyi térítési díja: 0,- Ft/nap.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alapellátáson túli szolgáltatásért legfeljebb a szolgáltatás önköltségét meg nem haladó mértékű térítés kérhető.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Solt Város Önkormányzat Képviselő-testülete, mint fenntartó a bölcsődei ellátás térítési díját a rendelet mellékletében dokumentálja.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§ </w:t>
      </w:r>
      <w:r>
        <w:rPr>
          <w:b/>
          <w:bCs/>
          <w:i/>
          <w:iCs/>
          <w:sz w:val="24"/>
          <w:szCs w:val="24"/>
        </w:rPr>
        <w:t>[]</w:t>
      </w:r>
      <w:r>
        <w:rPr>
          <w:rStyle w:val="FootnoteAnchor"/>
          <w:b/>
          <w:bCs/>
          <w:sz w:val="24"/>
          <w:szCs w:val="24"/>
        </w:rPr>
        <w:footnoteReference w:id="51"/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Záró rendelkezések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E rendelet 2005. január 1. napján lép hatályba, rendelkezéseit a folyamatban lévő ügyekben is alkalmazni kell.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Style w:val="FootnoteAnchor"/>
          <w:sz w:val="24"/>
          <w:szCs w:val="24"/>
        </w:rPr>
        <w:footnoteReference w:id="52"/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rendelet hatálybalépésével egyidejűleg hatályát veszti Solt Város Önkormányzat a gyermekvédelem helyi rendszeréről szóló 20/2004. (VI.15.) rendelete.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Melléklet </w:t>
      </w:r>
      <w:r>
        <w:rPr>
          <w:rStyle w:val="FootnoteAnchor"/>
          <w:i/>
          <w:iCs/>
          <w:sz w:val="24"/>
          <w:szCs w:val="24"/>
          <w:u w:val="single"/>
        </w:rPr>
        <w:footnoteReference w:id="53"/>
      </w:r>
      <w:r>
        <w:rPr>
          <w:rStyle w:val="FootnoteAnchor"/>
          <w:i/>
          <w:iCs/>
          <w:sz w:val="24"/>
          <w:szCs w:val="24"/>
          <w:u w:val="single"/>
        </w:rPr>
        <w:footnoteReference w:id="54"/>
      </w:r>
      <w:r>
        <w:rPr>
          <w:rStyle w:val="FootnoteAnchor"/>
          <w:i/>
          <w:iCs/>
          <w:sz w:val="24"/>
          <w:szCs w:val="24"/>
          <w:u w:val="single"/>
        </w:rPr>
        <w:footnoteReference w:id="55"/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A mini bölcsődei – óvodai – iskolai gyermekétkeztetés korrigált intézményi térítési díjának dokumentálása</w:t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56"/>
      </w:r>
      <w:r>
        <w:rPr>
          <w:sz w:val="24"/>
          <w:szCs w:val="24"/>
        </w:rPr>
        <w:t xml:space="preserve"> </w:t>
      </w:r>
      <w:r>
        <w:rPr>
          <w:rStyle w:val="FootnoteAnchor"/>
          <w:sz w:val="24"/>
          <w:szCs w:val="24"/>
        </w:rPr>
        <w:footnoteReference w:id="57"/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gyermekétkeztetés intézményi térítési díjának alapja az élelmezés nyersanyagköltségének egy ellátottja jutó napi összege a személyes gondoskodást nyújtó gyermekjóléti alapellátások és gyermekvédelmi szakellátások térítési díjáról és az igénylésükhöz felhasználható bizonyítékokról szóló 328/2011. (XII.29.) Korm. rendelet 5. § (2) bekezdésében meghatározott kerekítési szabályok figyelembevételével. Az intézményi térítési díjat és a személyi térítési díjat a fentiek alapján kell meghatározni.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20"/>
        <w:gridCol w:w="3855"/>
        <w:gridCol w:w="3663"/>
      </w:tblGrid>
      <w:tr>
        <w:trPr/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hely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étkezés gyakorisága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 adag nyersanyag normája Ft/adag - ellátási napra kerekítve</w:t>
            </w:r>
          </w:p>
        </w:tc>
      </w:tr>
      <w:tr>
        <w:trPr/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Mini Bölcsőde</w:t>
            </w:r>
            <w:r>
              <w:rPr>
                <w:rStyle w:val="FootnoteAnchor"/>
                <w:sz w:val="12"/>
                <w:szCs w:val="12"/>
              </w:rPr>
              <w:footnoteReference w:id="58"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 x-i étkezés</w:t>
              <w:br/>
              <w:t>reggeli főétkezés, déli meleg főétkezés, két kisétkezés (tízórai és uzsonna)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630</w:t>
            </w:r>
          </w:p>
        </w:tc>
      </w:tr>
      <w:tr>
        <w:trPr/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Óvoda</w:t>
            </w:r>
            <w:r>
              <w:rPr>
                <w:rStyle w:val="FootnoteAnchor"/>
                <w:sz w:val="12"/>
                <w:szCs w:val="12"/>
              </w:rPr>
              <w:footnoteReference w:id="59"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490</w:t>
            </w:r>
          </w:p>
        </w:tc>
      </w:tr>
      <w:tr>
        <w:trPr/>
        <w:tc>
          <w:tcPr>
            <w:tcW w:w="21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 x-i étkezés</w:t>
            </w:r>
            <w:r>
              <w:rPr>
                <w:rStyle w:val="FootnoteAnchor"/>
                <w:sz w:val="12"/>
                <w:szCs w:val="12"/>
              </w:rPr>
              <w:footnoteReference w:id="60"/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630</w:t>
            </w:r>
          </w:p>
        </w:tc>
      </w:tr>
      <w:tr>
        <w:trPr/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Iskola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420</w:t>
            </w:r>
          </w:p>
        </w:tc>
      </w:tr>
      <w:tr>
        <w:trPr/>
        <w:tc>
          <w:tcPr>
            <w:tcW w:w="21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 x-i étkezés</w:t>
            </w:r>
            <w:r>
              <w:rPr>
                <w:rStyle w:val="FootnoteAnchor"/>
                <w:sz w:val="12"/>
                <w:szCs w:val="12"/>
              </w:rPr>
              <w:footnoteReference w:id="61"/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570</w:t>
            </w:r>
          </w:p>
        </w:tc>
      </w:tr>
      <w:tr>
        <w:trPr/>
        <w:tc>
          <w:tcPr>
            <w:tcW w:w="21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 x-i étkezés</w:t>
            </w:r>
            <w:r>
              <w:rPr>
                <w:rStyle w:val="FootnoteAnchor"/>
                <w:sz w:val="12"/>
                <w:szCs w:val="12"/>
              </w:rPr>
              <w:footnoteReference w:id="62"/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</w:tr>
    </w:tbl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A mini bölcsődében nyújtott gondozás térítési díjának dokumentálása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gyermekek védelméről és a gyámügyi igazgatásról szóló 1997. évi XXXI. törvény 148. § (2) bekezdése, valamint a személyes gondoskodást nyújtó gyermekjóléti alapellátások és gyermekvédelmi szakellátások térítési díjáról és az igénylésükhöz felhasználható bizonyítékokról szóló 328/2011. (XII.29.) Korm. rendelet 9. § (2) bekezdése alapján a fenntartó önkormányzat, Solt Város Önkormányzat Képviselő-testülete a mini bölcsődében a gondozásért külön nem kíván személyi térítési díjat megállapítani, ezért az intézményi térítési díj összegét nullában határozza meg és helyi rendelete mellékletében – II. pont –, írásban dokumentálja.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hatálybalépés időpontja 2005. január 1.</w:t>
      </w:r>
    </w:p>
  </w:footnote>
  <w:footnote w:id="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Az 1.§ a 13/2012. (VI.15.) önkormányzati rendelet 2.§-ával megállapított szöveg.</w:t>
      </w:r>
    </w:p>
  </w:footnote>
  <w:footnote w:id="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2.§ (1) bekezdése a 14/2007. (IX.20.) önkormányzati rendelettel megállapított szöveg.</w:t>
      </w:r>
    </w:p>
  </w:footnote>
  <w:footnote w:id="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2.§ (2) bekezdést a 14/2007. (IX.20.) önkormányzati rendelet-a hatályon kívül helyezte.</w:t>
      </w:r>
    </w:p>
  </w:footnote>
  <w:footnote w:id="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2.§ (3) bekezdést a 14/2007. (IX.20.) önkormányzati rendelet-a hatályon kívül helyezte.</w:t>
      </w:r>
    </w:p>
  </w:footnote>
  <w:footnote w:id="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2.§ (4) bekezdést a 4/2017. (II.15.) önkormányzati rendelet 2.§ a) pontja hatályon kívül helyezte.</w:t>
      </w:r>
    </w:p>
  </w:footnote>
  <w:footnote w:id="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Módosította: 14/2006. (VI.12.) rendelet, hatályos 2006. július 1. napjától</w:t>
      </w:r>
    </w:p>
  </w:footnote>
  <w:footnote w:id="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3.§ (3) bekezdés a) pontja a 12/2013. (VI.13.) önkormányzati rendelet 1.§-ával megállapított szöveg.</w:t>
      </w:r>
    </w:p>
  </w:footnote>
  <w:footnote w:id="1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19/2013. (XII.05.) önkormányzati rendelet 10.§-ának a) pontja hatályon kívül helyezte. Hatályos 2014.01.01.</w:t>
      </w:r>
    </w:p>
  </w:footnote>
  <w:footnote w:id="1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3.§ (3) bekezdés b) pont az 5/2021. (III.26.) önkormányzati rendelet 1.§-ával megállapított szöveg.</w:t>
      </w:r>
    </w:p>
  </w:footnote>
  <w:footnote w:id="1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3.§ (4) bekezdés a 14/2006. (VI.12.) önkormányzati rendelettel megállapított szöveg.</w:t>
      </w:r>
    </w:p>
  </w:footnote>
  <w:footnote w:id="1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3.§ (4) bekezdés a 18/2011. (VIII.31.) önkormányzati rendelet 3. § a) pontjával megállapított szöveg.</w:t>
      </w:r>
    </w:p>
  </w:footnote>
  <w:footnote w:id="1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3.§ (4) bekezdést a 4/2017. (II.15.) önkormányzati rendelet 2.§ b) pontja hatályon kívül helyezte.</w:t>
      </w:r>
    </w:p>
  </w:footnote>
  <w:footnote w:id="1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5/2006. (III.31.) önkormányzati rendelet hatályon kívül helyezte.</w:t>
      </w:r>
    </w:p>
  </w:footnote>
  <w:footnote w:id="1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4.§ (5) bekezdés a 23/2005. (X.4.) önkormányzati rendelet iktatta be.</w:t>
      </w:r>
    </w:p>
  </w:footnote>
  <w:footnote w:id="1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4.§ (5) bekezdést a 6/2018. (III.26.) önkormányzati rendelet 4.§-a hatályon kívül helyezte.</w:t>
      </w:r>
    </w:p>
  </w:footnote>
  <w:footnote w:id="1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Az 5.§-t a 5/2006. (III.31.) önkormányzati rendelet hatályon kívül helyezte.</w:t>
      </w:r>
    </w:p>
  </w:footnote>
  <w:footnote w:id="1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6.§-t a 19/2013. (XII.05.) önkormányzati rendelet 10.§-ának b) pontja hatályon kívül helyezte.</w:t>
      </w:r>
    </w:p>
  </w:footnote>
  <w:footnote w:id="2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7.§-t a 19/2013. (XII.05.) önkormányzati rendelet 10.§-ának c) pontja hatályon kívül helyezte.</w:t>
      </w:r>
    </w:p>
  </w:footnote>
  <w:footnote w:id="2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7/A. §-t a 5/2006. (III.31.) önkormányzati rendelet hatályon kívül helyezte.</w:t>
      </w:r>
    </w:p>
  </w:footnote>
  <w:footnote w:id="2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7=B. § -t a 12/2013. (VI.20.) önkormányzati rendelet 2.§ iktatta be.</w:t>
      </w:r>
    </w:p>
  </w:footnote>
  <w:footnote w:id="2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7/B.§ (3) bekezdését a 6/2016. (IV.5.) önkormányzati rendelet 3.§-a hatályon kívül helyezte.</w:t>
      </w:r>
    </w:p>
  </w:footnote>
  <w:footnote w:id="2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7/B.§ (4) bekezdése az 5/2021. (III.26.) önkormányzati rendelet 2.§-ával megállapított szöveg.</w:t>
      </w:r>
    </w:p>
  </w:footnote>
  <w:footnote w:id="2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8.§ (2) bekezdést a 18/2011. (VIII.31.) önkormányzati rendelet 4. §-a hatályon kívül helyezte.</w:t>
      </w:r>
    </w:p>
  </w:footnote>
  <w:footnote w:id="2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9.§ (2) bekezdést a 4/2017. (II.15.) önkormányzati rendelet 2.§ c) pontja hatályon kívül helyezte.</w:t>
      </w:r>
    </w:p>
  </w:footnote>
  <w:footnote w:id="2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10.§ (2) bekezdést a 4/2017. (II.15.) önkormányzati rendelet 2.§ d) pontja hatályon kívül helyezte.</w:t>
      </w:r>
    </w:p>
  </w:footnote>
  <w:footnote w:id="2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10.§ (3) bekezdést a 4/2017. (II.15.) önkormányzati rendelet 2.§ d) pontja hatályon kívül helyezte.</w:t>
      </w:r>
    </w:p>
  </w:footnote>
  <w:footnote w:id="2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10.§ (4) bekezdést a 4/2017. (II.15.) önkormányzati rendelet 2.§ d) pontja hatályon kívül helyezte.</w:t>
      </w:r>
    </w:p>
  </w:footnote>
  <w:footnote w:id="3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10.§ (5) bekezdést a 4/2017. (II.15.) önkormányzati rendelet 2.§ d) pontja hatályon kívül helyezte.</w:t>
      </w:r>
    </w:p>
  </w:footnote>
  <w:footnote w:id="3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 § (1) bekezdése a Solt Város Önkormányzata Képviselő-testületének 5/2023. (III. 31.) önkormányzati rendelete 1. §-ával megállapított szöveg.</w:t>
      </w:r>
    </w:p>
  </w:footnote>
  <w:footnote w:id="3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(1) bekezdést a 13/2012. (VI.15.) önkormányzati rendelet 3.§ a) pontja hatályon kívül helyezte.</w:t>
      </w:r>
    </w:p>
  </w:footnote>
  <w:footnote w:id="3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(1) bekezdés a 13/2012. (VI.15.) önkormányzati rendelet 1.§-ával megállapított szöveg.</w:t>
      </w:r>
    </w:p>
  </w:footnote>
  <w:footnote w:id="3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(1) bekezdés a 5/2013. (II.20.) önkormányzati rendelet 1.§-ával megállapított szöveg.</w:t>
      </w:r>
    </w:p>
  </w:footnote>
  <w:footnote w:id="3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(1) bekezdés a 25/2019. (XII.23.) önkormányzati rendelet 1.§-ával megállapított szöveg.</w:t>
      </w:r>
    </w:p>
  </w:footnote>
  <w:footnote w:id="3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(1) bekezdés a 10/2022. (IX.20.) önkormányzati rendelet 1.§-ával megállapított szöveg.</w:t>
      </w:r>
    </w:p>
  </w:footnote>
  <w:footnote w:id="3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(2) bekezdés a 26/2008. (XII.10.) önkormányzati rendelettel megállapított szöveg.</w:t>
      </w:r>
    </w:p>
  </w:footnote>
  <w:footnote w:id="3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(2) bekezdés a 7/2010. (VI.25.) önkormányzati rendelettel megállapított szöveg.</w:t>
      </w:r>
    </w:p>
  </w:footnote>
  <w:footnote w:id="3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(3) bekezdés a 13/2012. (VI.15.) önkormányzati rendelet 1.§-ával megállapított szöveg.</w:t>
      </w:r>
    </w:p>
  </w:footnote>
  <w:footnote w:id="4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(2) bekezdés a 10/2022. (IX.20.) önkormányzati rendelet 1.§-ával megállapított szöveg.</w:t>
      </w:r>
    </w:p>
  </w:footnote>
  <w:footnote w:id="4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(4) bekezdés a 13/2012. (VI.15.) önkormányzati rendelet 1.§-ával megállapított szöveg.</w:t>
      </w:r>
    </w:p>
  </w:footnote>
  <w:footnote w:id="4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(4) bekezdése a 6/2016. (IV.5.) önkormányzati rendelet 1.§-ával megállapított szöveg.</w:t>
      </w:r>
    </w:p>
  </w:footnote>
  <w:footnote w:id="4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(5) bekezdés a 21/2007. (XII.14.) önkormányzati rendelettel megállapított szöveg.</w:t>
      </w:r>
    </w:p>
  </w:footnote>
  <w:footnote w:id="4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(5) bekezdés a 7/2010. (VI.25.) önkormányzati rendelettel megállapított szöveg.</w:t>
      </w:r>
    </w:p>
  </w:footnote>
  <w:footnote w:id="4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(5) bekezdés a 18/2011. (VIII.31.) önkormányzati rendelet 1. §-ával megállapított szöveg.</w:t>
      </w:r>
    </w:p>
  </w:footnote>
  <w:footnote w:id="4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(5) bekezdés a 13/2012. (VI.15.) önkormányzati rendelet 1.§-ával megállapított szöveg.</w:t>
      </w:r>
    </w:p>
  </w:footnote>
  <w:footnote w:id="4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(6) bekezdés a 5/2006. (III.31.) önkormányzati rendelet hatályon kívül helyezte.</w:t>
      </w:r>
    </w:p>
  </w:footnote>
  <w:footnote w:id="4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(7) bekezdést a 13/2012. (VI.15.) önkormányzati rendelet 3.§ b) pontja hatályon kívül helyezte.</w:t>
      </w:r>
    </w:p>
  </w:footnote>
  <w:footnote w:id="4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11.§ (8) bekezdést a 13/2012. (VI.15.) önkormányzati rendelet 3.§ b) pontja-a hatályon kívül helyezte.</w:t>
      </w:r>
    </w:p>
  </w:footnote>
  <w:footnote w:id="5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11/A. §-t a 6/2018. (III.26.) önkormányzati rendelet 2.§ iktatta be.</w:t>
      </w:r>
    </w:p>
  </w:footnote>
  <w:footnote w:id="5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12.§-t a 14/2006. (VI.12.) önkormányzati rendelet hatályon kívül helyezte.</w:t>
      </w:r>
    </w:p>
  </w:footnote>
  <w:footnote w:id="5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13.§ (2) bekezdést a 4/2017. (II.15.) önkormányzati rendelet 2.§ e) pontja hatályon kívül helyezte.</w:t>
      </w:r>
    </w:p>
  </w:footnote>
  <w:footnote w:id="5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a 8/2019. (III.29.) önkormányzati rendelet 1.§-ával megállapított szöveg.</w:t>
      </w:r>
    </w:p>
  </w:footnote>
  <w:footnote w:id="5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a 25/2019. (XII.23.) önkormányzati rendelet 2.§-ával megállapított szöveg.</w:t>
      </w:r>
    </w:p>
  </w:footnote>
  <w:footnote w:id="5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a 6/2018. (III.26.) önkormányzati rendelet 3.§-ával megállapított szöveg.</w:t>
      </w:r>
    </w:p>
  </w:footnote>
  <w:footnote w:id="5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az 5/2020. (III.31.) önkormányzati rendelet 1.§-ával megállapított szöveg.</w:t>
      </w:r>
    </w:p>
  </w:footnote>
  <w:footnote w:id="5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a 10/2022. (IX.20.) önkormányzati rendelet 2.§-ával megállapított szöveg.</w:t>
      </w:r>
    </w:p>
  </w:footnote>
  <w:footnote w:id="5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I. részében foglalt táblázat „Mini Bölcsőde” sora a Solt Város Önkormányzata Képviselő-testületének 5/2023. (III. 31.) önkormányzati rendelete 2. §-ával megállapított szöveg.</w:t>
      </w:r>
    </w:p>
  </w:footnote>
  <w:footnote w:id="59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I. részében foglalt táblázat „Óvoda” sora a Solt Város Önkormányzata Képviselő-testületének 5/2023. (III. 31.) önkormányzati rendelete 2. §-ával megállapított szöveg.</w:t>
      </w:r>
    </w:p>
  </w:footnote>
  <w:footnote w:id="60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I. részében foglalt táblázat 4. sora a Solt Város Önkormányzata Képviselő-testületének 5/2023. (III. 31.) önkormányzati rendelete 2. §-ával megállapított szöveg.</w:t>
      </w:r>
    </w:p>
  </w:footnote>
  <w:footnote w:id="61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I. részében foglalt táblázat 6. sora a Solt Város Önkormányzata Képviselő-testületének 5/2023. (III. 31.) önkormányzati rendelete 2. §-ával megállapított szöveg.</w:t>
      </w:r>
    </w:p>
  </w:footnote>
  <w:footnote w:id="6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Melléklet I. részében foglalt táblázat 7. sora a Solt Város Önkormányzata Képviselő-testületének 5/2023. (III. 31.) önkormányzati rendelete 2. §-ával megállapított szöveg.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